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DC177F" w14:textId="7629DCA8" w:rsidR="00737B80" w:rsidRPr="00737B80" w:rsidRDefault="00737B80" w:rsidP="00737B80">
      <w:pPr>
        <w:shd w:val="clear" w:color="auto" w:fill="FFFFFF"/>
        <w:spacing w:after="0" w:line="240" w:lineRule="auto"/>
        <w:outlineLvl w:val="0"/>
        <w:rPr>
          <w:rFonts w:ascii="Lato" w:eastAsia="Times New Roman" w:hAnsi="Lato" w:cs="Times New Roman"/>
          <w:color w:val="3E001F"/>
          <w:kern w:val="0"/>
          <w:sz w:val="30"/>
          <w:szCs w:val="30"/>
          <w:lang w:val="nl-NL" w:eastAsia="fr-BE"/>
          <w14:ligatures w14:val="none"/>
        </w:rPr>
      </w:pPr>
      <w:r w:rsidRPr="00737B80">
        <w:rPr>
          <w:rFonts w:ascii="Lato" w:eastAsia="Times New Roman" w:hAnsi="Lato" w:cs="Times New Roman"/>
          <w:color w:val="CC3300"/>
          <w:kern w:val="36"/>
          <w:sz w:val="36"/>
          <w:szCs w:val="36"/>
          <w:lang w:eastAsia="fr-BE"/>
          <w14:ligatures w14:val="none"/>
        </w:rPr>
        <w:t xml:space="preserve">L’aluminium profite de la hausse des cours du cuivre </w:t>
      </w:r>
    </w:p>
    <w:p w14:paraId="764D74B5" w14:textId="77777777" w:rsidR="00737B80" w:rsidRDefault="00737B80" w:rsidP="00737B80">
      <w:pPr>
        <w:shd w:val="clear" w:color="auto" w:fill="FFFFFF"/>
        <w:spacing w:before="75" w:after="75" w:line="240" w:lineRule="auto"/>
        <w:jc w:val="both"/>
        <w:rPr>
          <w:rFonts w:ascii="Lato" w:eastAsia="Times New Roman" w:hAnsi="Lato" w:cs="Times New Roman"/>
          <w:i/>
          <w:iCs/>
          <w:color w:val="000000"/>
          <w:kern w:val="0"/>
          <w:sz w:val="23"/>
          <w:szCs w:val="23"/>
          <w:lang w:eastAsia="fr-BE"/>
          <w14:ligatures w14:val="none"/>
        </w:rPr>
      </w:pPr>
    </w:p>
    <w:p w14:paraId="6B60C6BA" w14:textId="3F032273" w:rsidR="00737B80" w:rsidRPr="00737B80" w:rsidRDefault="00737B80" w:rsidP="00737B80">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737B80">
        <w:rPr>
          <w:rFonts w:ascii="Lato" w:eastAsia="Times New Roman" w:hAnsi="Lato" w:cs="Times New Roman"/>
          <w:color w:val="000000"/>
          <w:kern w:val="0"/>
          <w:sz w:val="23"/>
          <w:szCs w:val="23"/>
          <w:lang w:eastAsia="fr-BE"/>
          <w14:ligatures w14:val="none"/>
        </w:rPr>
        <w:t xml:space="preserve">S'exprimant lors de la conférence Bank of America Global </w:t>
      </w:r>
      <w:proofErr w:type="spellStart"/>
      <w:r w:rsidRPr="00737B80">
        <w:rPr>
          <w:rFonts w:ascii="Lato" w:eastAsia="Times New Roman" w:hAnsi="Lato" w:cs="Times New Roman"/>
          <w:color w:val="000000"/>
          <w:kern w:val="0"/>
          <w:sz w:val="23"/>
          <w:szCs w:val="23"/>
          <w:lang w:eastAsia="fr-BE"/>
          <w14:ligatures w14:val="none"/>
        </w:rPr>
        <w:t>Metals</w:t>
      </w:r>
      <w:proofErr w:type="spellEnd"/>
      <w:r w:rsidRPr="00737B80">
        <w:rPr>
          <w:rFonts w:ascii="Lato" w:eastAsia="Times New Roman" w:hAnsi="Lato" w:cs="Times New Roman"/>
          <w:color w:val="000000"/>
          <w:kern w:val="0"/>
          <w:sz w:val="23"/>
          <w:szCs w:val="23"/>
          <w:lang w:eastAsia="fr-BE"/>
          <w14:ligatures w14:val="none"/>
        </w:rPr>
        <w:t xml:space="preserve">, Mining &amp; Steel, mardi 14 mai, William </w:t>
      </w:r>
      <w:proofErr w:type="spellStart"/>
      <w:r w:rsidRPr="00737B80">
        <w:rPr>
          <w:rFonts w:ascii="Lato" w:eastAsia="Times New Roman" w:hAnsi="Lato" w:cs="Times New Roman"/>
          <w:color w:val="000000"/>
          <w:kern w:val="0"/>
          <w:sz w:val="23"/>
          <w:szCs w:val="23"/>
          <w:lang w:eastAsia="fr-BE"/>
          <w14:ligatures w14:val="none"/>
        </w:rPr>
        <w:t>Oplinger</w:t>
      </w:r>
      <w:proofErr w:type="spellEnd"/>
      <w:r w:rsidRPr="00737B80">
        <w:rPr>
          <w:rFonts w:ascii="Lato" w:eastAsia="Times New Roman" w:hAnsi="Lato" w:cs="Times New Roman"/>
          <w:color w:val="000000"/>
          <w:kern w:val="0"/>
          <w:sz w:val="23"/>
          <w:szCs w:val="23"/>
          <w:lang w:eastAsia="fr-BE"/>
          <w14:ligatures w14:val="none"/>
        </w:rPr>
        <w:t xml:space="preserve">, </w:t>
      </w:r>
      <w:proofErr w:type="spellStart"/>
      <w:r w:rsidRPr="00737B80">
        <w:rPr>
          <w:rFonts w:ascii="Lato" w:eastAsia="Times New Roman" w:hAnsi="Lato" w:cs="Times New Roman"/>
          <w:color w:val="000000"/>
          <w:kern w:val="0"/>
          <w:sz w:val="23"/>
          <w:szCs w:val="23"/>
          <w:lang w:eastAsia="fr-BE"/>
          <w14:ligatures w14:val="none"/>
        </w:rPr>
        <w:t>pdg</w:t>
      </w:r>
      <w:proofErr w:type="spellEnd"/>
      <w:r w:rsidRPr="00737B80">
        <w:rPr>
          <w:rFonts w:ascii="Lato" w:eastAsia="Times New Roman" w:hAnsi="Lato" w:cs="Times New Roman"/>
          <w:color w:val="000000"/>
          <w:kern w:val="0"/>
          <w:sz w:val="23"/>
          <w:szCs w:val="23"/>
          <w:lang w:eastAsia="fr-BE"/>
          <w14:ligatures w14:val="none"/>
        </w:rPr>
        <w:t xml:space="preserve"> d'</w:t>
      </w:r>
      <w:r w:rsidRPr="00737B80">
        <w:rPr>
          <w:rFonts w:ascii="Lato" w:eastAsia="Times New Roman" w:hAnsi="Lato" w:cs="Times New Roman"/>
          <w:b/>
          <w:bCs/>
          <w:color w:val="000000"/>
          <w:kern w:val="0"/>
          <w:sz w:val="23"/>
          <w:szCs w:val="23"/>
          <w:lang w:eastAsia="fr-BE"/>
          <w14:ligatures w14:val="none"/>
        </w:rPr>
        <w:t>Alcoa</w:t>
      </w:r>
      <w:r w:rsidRPr="00737B80">
        <w:rPr>
          <w:rFonts w:ascii="Lato" w:eastAsia="Times New Roman" w:hAnsi="Lato" w:cs="Times New Roman"/>
          <w:color w:val="000000"/>
          <w:kern w:val="0"/>
          <w:sz w:val="23"/>
          <w:szCs w:val="23"/>
          <w:lang w:eastAsia="fr-BE"/>
          <w14:ligatures w14:val="none"/>
        </w:rPr>
        <w:t>, a déclaré que la forte progression des cours du cuivre jouait en faveur de la demande d'aluminium, les consommateurs cherchant à substituer le cuivre par le métal léger.</w:t>
      </w:r>
    </w:p>
    <w:p w14:paraId="7AB4AC93" w14:textId="77777777" w:rsidR="00737B80" w:rsidRPr="00737B80" w:rsidRDefault="00737B80" w:rsidP="00737B80">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737B80">
        <w:rPr>
          <w:rFonts w:ascii="Lato" w:eastAsia="Times New Roman" w:hAnsi="Lato" w:cs="Times New Roman"/>
          <w:color w:val="000000"/>
          <w:kern w:val="0"/>
          <w:sz w:val="23"/>
          <w:szCs w:val="23"/>
          <w:lang w:eastAsia="fr-BE"/>
          <w14:ligatures w14:val="none"/>
        </w:rPr>
        <w:t xml:space="preserve">Le cours actuel du cuivre est 3,5 à 4 fois supérieur à celui de l'aluminium. Seule une quantité marginale de cuivre peut être remplacée par l'aluminium, a rappelé William </w:t>
      </w:r>
      <w:proofErr w:type="spellStart"/>
      <w:r w:rsidRPr="00737B80">
        <w:rPr>
          <w:rFonts w:ascii="Lato" w:eastAsia="Times New Roman" w:hAnsi="Lato" w:cs="Times New Roman"/>
          <w:color w:val="000000"/>
          <w:kern w:val="0"/>
          <w:sz w:val="23"/>
          <w:szCs w:val="23"/>
          <w:lang w:eastAsia="fr-BE"/>
          <w14:ligatures w14:val="none"/>
        </w:rPr>
        <w:t>Oplinger</w:t>
      </w:r>
      <w:proofErr w:type="spellEnd"/>
      <w:r w:rsidRPr="00737B80">
        <w:rPr>
          <w:rFonts w:ascii="Lato" w:eastAsia="Times New Roman" w:hAnsi="Lato" w:cs="Times New Roman"/>
          <w:color w:val="000000"/>
          <w:kern w:val="0"/>
          <w:sz w:val="23"/>
          <w:szCs w:val="23"/>
          <w:lang w:eastAsia="fr-BE"/>
          <w14:ligatures w14:val="none"/>
        </w:rPr>
        <w:t xml:space="preserve"> : « </w:t>
      </w:r>
      <w:r w:rsidRPr="00737B80">
        <w:rPr>
          <w:rFonts w:ascii="Lato" w:eastAsia="Times New Roman" w:hAnsi="Lato" w:cs="Times New Roman"/>
          <w:i/>
          <w:iCs/>
          <w:color w:val="000000"/>
          <w:kern w:val="0"/>
          <w:sz w:val="23"/>
          <w:szCs w:val="23"/>
          <w:lang w:eastAsia="fr-BE"/>
          <w14:ligatures w14:val="none"/>
        </w:rPr>
        <w:t>L'un de nos plus grands marchés est celui de l'électricité, où il est possible de remplacer le cuivre par de l'aluminium. L'autre marché, sur lequel il est possible d’en faire de même, du moins sur une partie, est celui des échangeurs de chaleur pour l'industrie automobile</w:t>
      </w:r>
      <w:r w:rsidRPr="00737B80">
        <w:rPr>
          <w:rFonts w:ascii="Lato" w:eastAsia="Times New Roman" w:hAnsi="Lato" w:cs="Times New Roman"/>
          <w:color w:val="000000"/>
          <w:kern w:val="0"/>
          <w:sz w:val="23"/>
          <w:szCs w:val="23"/>
          <w:lang w:eastAsia="fr-BE"/>
          <w14:ligatures w14:val="none"/>
        </w:rPr>
        <w:t>. »</w:t>
      </w:r>
    </w:p>
    <w:p w14:paraId="004D8FE6" w14:textId="77777777" w:rsidR="00737B80" w:rsidRPr="00737B80" w:rsidRDefault="00737B80" w:rsidP="00737B80">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737B80">
        <w:rPr>
          <w:rFonts w:ascii="Lato" w:eastAsia="Times New Roman" w:hAnsi="Lato" w:cs="Times New Roman"/>
          <w:color w:val="000000"/>
          <w:kern w:val="0"/>
          <w:sz w:val="23"/>
          <w:szCs w:val="23"/>
          <w:lang w:eastAsia="fr-BE"/>
          <w14:ligatures w14:val="none"/>
        </w:rPr>
        <w:br/>
      </w:r>
      <w:r w:rsidRPr="00737B80">
        <w:rPr>
          <w:rFonts w:ascii="Lato" w:eastAsia="Times New Roman" w:hAnsi="Lato" w:cs="Times New Roman"/>
          <w:b/>
          <w:bCs/>
          <w:color w:val="A52A2A"/>
          <w:kern w:val="0"/>
          <w:sz w:val="23"/>
          <w:szCs w:val="23"/>
          <w:lang w:eastAsia="fr-BE"/>
          <w14:ligatures w14:val="none"/>
        </w:rPr>
        <w:t>Demande croissante pour les produits bas carbone</w:t>
      </w:r>
    </w:p>
    <w:p w14:paraId="3A960DD9" w14:textId="77777777" w:rsidR="00737B80" w:rsidRPr="00737B80" w:rsidRDefault="00737B80" w:rsidP="00737B80">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737B80">
        <w:rPr>
          <w:rFonts w:ascii="Lato" w:eastAsia="Times New Roman" w:hAnsi="Lato" w:cs="Times New Roman"/>
          <w:b/>
          <w:bCs/>
          <w:color w:val="000000"/>
          <w:kern w:val="0"/>
          <w:sz w:val="23"/>
          <w:szCs w:val="23"/>
          <w:lang w:eastAsia="fr-BE"/>
          <w14:ligatures w14:val="none"/>
        </w:rPr>
        <w:t>Alcoa </w:t>
      </w:r>
      <w:r w:rsidRPr="00737B80">
        <w:rPr>
          <w:rFonts w:ascii="Lato" w:eastAsia="Times New Roman" w:hAnsi="Lato" w:cs="Times New Roman"/>
          <w:color w:val="000000"/>
          <w:kern w:val="0"/>
          <w:sz w:val="23"/>
          <w:szCs w:val="23"/>
          <w:lang w:eastAsia="fr-BE"/>
          <w14:ligatures w14:val="none"/>
        </w:rPr>
        <w:t xml:space="preserve">a constaté une croissance de la demande en produits d'alumine et d'aluminium bas carbone, commercialisés sous la marque </w:t>
      </w:r>
      <w:proofErr w:type="spellStart"/>
      <w:r w:rsidRPr="00737B80">
        <w:rPr>
          <w:rFonts w:ascii="Lato" w:eastAsia="Times New Roman" w:hAnsi="Lato" w:cs="Times New Roman"/>
          <w:color w:val="000000"/>
          <w:kern w:val="0"/>
          <w:sz w:val="23"/>
          <w:szCs w:val="23"/>
          <w:lang w:eastAsia="fr-BE"/>
          <w14:ligatures w14:val="none"/>
        </w:rPr>
        <w:t>Sustana</w:t>
      </w:r>
      <w:proofErr w:type="spellEnd"/>
      <w:r w:rsidRPr="00737B80">
        <w:rPr>
          <w:rFonts w:ascii="Lato" w:eastAsia="Times New Roman" w:hAnsi="Lato" w:cs="Times New Roman"/>
          <w:color w:val="000000"/>
          <w:kern w:val="0"/>
          <w:sz w:val="23"/>
          <w:szCs w:val="23"/>
          <w:lang w:eastAsia="fr-BE"/>
          <w14:ligatures w14:val="none"/>
        </w:rPr>
        <w:t>. « </w:t>
      </w:r>
      <w:r w:rsidRPr="00737B80">
        <w:rPr>
          <w:rFonts w:ascii="Lato" w:eastAsia="Times New Roman" w:hAnsi="Lato" w:cs="Times New Roman"/>
          <w:i/>
          <w:iCs/>
          <w:color w:val="000000"/>
          <w:kern w:val="0"/>
          <w:sz w:val="23"/>
          <w:szCs w:val="23"/>
          <w:lang w:eastAsia="fr-BE"/>
          <w14:ligatures w14:val="none"/>
        </w:rPr>
        <w:t xml:space="preserve">Si les primes sur les produits bas carbone sont encore modestes, nous avons enregistré une progression des ventes d'alumine de qualité fonderie </w:t>
      </w:r>
      <w:proofErr w:type="spellStart"/>
      <w:r w:rsidRPr="00737B80">
        <w:rPr>
          <w:rFonts w:ascii="Lato" w:eastAsia="Times New Roman" w:hAnsi="Lato" w:cs="Times New Roman"/>
          <w:i/>
          <w:iCs/>
          <w:color w:val="000000"/>
          <w:kern w:val="0"/>
          <w:sz w:val="23"/>
          <w:szCs w:val="23"/>
          <w:lang w:eastAsia="fr-BE"/>
          <w14:ligatures w14:val="none"/>
        </w:rPr>
        <w:t>EcoSource</w:t>
      </w:r>
      <w:proofErr w:type="spellEnd"/>
      <w:r w:rsidRPr="00737B80">
        <w:rPr>
          <w:rFonts w:ascii="Lato" w:eastAsia="Times New Roman" w:hAnsi="Lato" w:cs="Times New Roman"/>
          <w:i/>
          <w:iCs/>
          <w:color w:val="000000"/>
          <w:kern w:val="0"/>
          <w:sz w:val="23"/>
          <w:szCs w:val="23"/>
          <w:lang w:eastAsia="fr-BE"/>
          <w14:ligatures w14:val="none"/>
        </w:rPr>
        <w:t xml:space="preserve">, d'alumine de qualité non métallurgique, d'aluminium à contenu recyclé </w:t>
      </w:r>
      <w:proofErr w:type="spellStart"/>
      <w:r w:rsidRPr="00737B80">
        <w:rPr>
          <w:rFonts w:ascii="Lato" w:eastAsia="Times New Roman" w:hAnsi="Lato" w:cs="Times New Roman"/>
          <w:i/>
          <w:iCs/>
          <w:color w:val="000000"/>
          <w:kern w:val="0"/>
          <w:sz w:val="23"/>
          <w:szCs w:val="23"/>
          <w:lang w:eastAsia="fr-BE"/>
          <w14:ligatures w14:val="none"/>
        </w:rPr>
        <w:t>EcoDura</w:t>
      </w:r>
      <w:proofErr w:type="spellEnd"/>
      <w:r w:rsidRPr="00737B80">
        <w:rPr>
          <w:rFonts w:ascii="Lato" w:eastAsia="Times New Roman" w:hAnsi="Lato" w:cs="Times New Roman"/>
          <w:i/>
          <w:iCs/>
          <w:color w:val="000000"/>
          <w:kern w:val="0"/>
          <w:sz w:val="23"/>
          <w:szCs w:val="23"/>
          <w:lang w:eastAsia="fr-BE"/>
          <w14:ligatures w14:val="none"/>
        </w:rPr>
        <w:t xml:space="preserve"> et de produits primaires à faible teneur en carbone </w:t>
      </w:r>
      <w:proofErr w:type="spellStart"/>
      <w:r w:rsidRPr="00737B80">
        <w:rPr>
          <w:rFonts w:ascii="Lato" w:eastAsia="Times New Roman" w:hAnsi="Lato" w:cs="Times New Roman"/>
          <w:i/>
          <w:iCs/>
          <w:color w:val="000000"/>
          <w:kern w:val="0"/>
          <w:sz w:val="23"/>
          <w:szCs w:val="23"/>
          <w:lang w:eastAsia="fr-BE"/>
          <w14:ligatures w14:val="none"/>
        </w:rPr>
        <w:t>EcoLum</w:t>
      </w:r>
      <w:proofErr w:type="spellEnd"/>
      <w:r w:rsidRPr="00737B80">
        <w:rPr>
          <w:rFonts w:ascii="Lato" w:eastAsia="Times New Roman" w:hAnsi="Lato" w:cs="Times New Roman"/>
          <w:i/>
          <w:iCs/>
          <w:color w:val="000000"/>
          <w:kern w:val="0"/>
          <w:sz w:val="23"/>
          <w:szCs w:val="23"/>
          <w:lang w:eastAsia="fr-BE"/>
          <w14:ligatures w14:val="none"/>
        </w:rPr>
        <w:t> </w:t>
      </w:r>
      <w:r w:rsidRPr="00737B80">
        <w:rPr>
          <w:rFonts w:ascii="Lato" w:eastAsia="Times New Roman" w:hAnsi="Lato" w:cs="Times New Roman"/>
          <w:color w:val="000000"/>
          <w:kern w:val="0"/>
          <w:sz w:val="23"/>
          <w:szCs w:val="23"/>
          <w:lang w:eastAsia="fr-BE"/>
          <w14:ligatures w14:val="none"/>
        </w:rPr>
        <w:t>», a-t-il précisé.</w:t>
      </w:r>
    </w:p>
    <w:p w14:paraId="299E0684" w14:textId="77777777" w:rsidR="00737B80" w:rsidRPr="00737B80" w:rsidRDefault="00737B80" w:rsidP="00737B80">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737B80">
        <w:rPr>
          <w:rFonts w:ascii="Lato" w:eastAsia="Times New Roman" w:hAnsi="Lato" w:cs="Times New Roman"/>
          <w:color w:val="000000"/>
          <w:kern w:val="0"/>
          <w:sz w:val="23"/>
          <w:szCs w:val="23"/>
          <w:lang w:eastAsia="fr-BE"/>
          <w14:ligatures w14:val="none"/>
        </w:rPr>
        <w:t>Les projets de R&amp;D à long terme d'</w:t>
      </w:r>
      <w:r w:rsidRPr="00737B80">
        <w:rPr>
          <w:rFonts w:ascii="Lato" w:eastAsia="Times New Roman" w:hAnsi="Lato" w:cs="Times New Roman"/>
          <w:b/>
          <w:bCs/>
          <w:color w:val="000000"/>
          <w:kern w:val="0"/>
          <w:sz w:val="23"/>
          <w:szCs w:val="23"/>
          <w:lang w:eastAsia="fr-BE"/>
          <w14:ligatures w14:val="none"/>
        </w:rPr>
        <w:t>Alcoa</w:t>
      </w:r>
      <w:r w:rsidRPr="00737B80">
        <w:rPr>
          <w:rFonts w:ascii="Lato" w:eastAsia="Times New Roman" w:hAnsi="Lato" w:cs="Times New Roman"/>
          <w:color w:val="000000"/>
          <w:kern w:val="0"/>
          <w:sz w:val="23"/>
          <w:szCs w:val="23"/>
          <w:lang w:eastAsia="fr-BE"/>
          <w14:ligatures w14:val="none"/>
        </w:rPr>
        <w:t> portent sur le processus de fusion de l'aluminium ELYSIS, une technologie zéro carbone, et le processus de recyclage de haute pureté ASTRAEA.</w:t>
      </w:r>
    </w:p>
    <w:p w14:paraId="2E6CBF29" w14:textId="77777777" w:rsidR="00737B80" w:rsidRPr="00737B80" w:rsidRDefault="00737B80" w:rsidP="00737B80">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737B80">
        <w:rPr>
          <w:rFonts w:ascii="Lato" w:eastAsia="Times New Roman" w:hAnsi="Lato" w:cs="Times New Roman"/>
          <w:color w:val="000000"/>
          <w:kern w:val="0"/>
          <w:sz w:val="23"/>
          <w:szCs w:val="23"/>
          <w:lang w:eastAsia="fr-BE"/>
          <w14:ligatures w14:val="none"/>
        </w:rPr>
        <w:t xml:space="preserve">L'aluminium de seconde fusion jouera un rôle significatif, la demande mondiale d'aluminium devant augmenter d'environ 3%, contre une croissance de 2 % attendue pour la demande d'aluminium de première fusion, selon le </w:t>
      </w:r>
      <w:proofErr w:type="spellStart"/>
      <w:r w:rsidRPr="00737B80">
        <w:rPr>
          <w:rFonts w:ascii="Lato" w:eastAsia="Times New Roman" w:hAnsi="Lato" w:cs="Times New Roman"/>
          <w:color w:val="000000"/>
          <w:kern w:val="0"/>
          <w:sz w:val="23"/>
          <w:szCs w:val="23"/>
          <w:lang w:eastAsia="fr-BE"/>
          <w14:ligatures w14:val="none"/>
        </w:rPr>
        <w:t>pdg</w:t>
      </w:r>
      <w:proofErr w:type="spellEnd"/>
      <w:r w:rsidRPr="00737B80">
        <w:rPr>
          <w:rFonts w:ascii="Lato" w:eastAsia="Times New Roman" w:hAnsi="Lato" w:cs="Times New Roman"/>
          <w:color w:val="000000"/>
          <w:kern w:val="0"/>
          <w:sz w:val="23"/>
          <w:szCs w:val="23"/>
          <w:lang w:eastAsia="fr-BE"/>
          <w14:ligatures w14:val="none"/>
        </w:rPr>
        <w:t>. « </w:t>
      </w:r>
      <w:r w:rsidRPr="00737B80">
        <w:rPr>
          <w:rFonts w:ascii="Lato" w:eastAsia="Times New Roman" w:hAnsi="Lato" w:cs="Times New Roman"/>
          <w:i/>
          <w:iCs/>
          <w:color w:val="000000"/>
          <w:kern w:val="0"/>
          <w:sz w:val="23"/>
          <w:szCs w:val="23"/>
          <w:lang w:eastAsia="fr-BE"/>
          <w14:ligatures w14:val="none"/>
        </w:rPr>
        <w:t>À l'heure actuelle, notre capacité à traiter le métal secondaire est limitée. Nous essayons de déterminer de quelle manière nous pourrions obtenir un rendement positif pour les actionnaires. (…) Nous devons simplement déterminer quand et comment nous pourrions être acteur dans ce secteur, c'est important pour l'avenir de l'aluminium </w:t>
      </w:r>
      <w:r w:rsidRPr="00737B80">
        <w:rPr>
          <w:rFonts w:ascii="Lato" w:eastAsia="Times New Roman" w:hAnsi="Lato" w:cs="Times New Roman"/>
          <w:color w:val="000000"/>
          <w:kern w:val="0"/>
          <w:sz w:val="23"/>
          <w:szCs w:val="23"/>
          <w:lang w:eastAsia="fr-BE"/>
          <w14:ligatures w14:val="none"/>
        </w:rPr>
        <w:t>».</w:t>
      </w:r>
    </w:p>
    <w:p w14:paraId="1CEE4D21" w14:textId="77777777" w:rsidR="00737B80" w:rsidRPr="00737B80" w:rsidRDefault="00737B80" w:rsidP="00737B80">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737B80">
        <w:rPr>
          <w:rFonts w:ascii="Lato" w:eastAsia="Times New Roman" w:hAnsi="Lato" w:cs="Times New Roman"/>
          <w:color w:val="000000"/>
          <w:kern w:val="0"/>
          <w:sz w:val="23"/>
          <w:szCs w:val="23"/>
          <w:lang w:eastAsia="fr-BE"/>
          <w14:ligatures w14:val="none"/>
        </w:rPr>
        <w:t>En mars dernier, </w:t>
      </w:r>
      <w:r w:rsidRPr="00737B80">
        <w:rPr>
          <w:rFonts w:ascii="Lato" w:eastAsia="Times New Roman" w:hAnsi="Lato" w:cs="Times New Roman"/>
          <w:b/>
          <w:bCs/>
          <w:color w:val="000000"/>
          <w:kern w:val="0"/>
          <w:sz w:val="23"/>
          <w:szCs w:val="23"/>
          <w:lang w:eastAsia="fr-BE"/>
          <w14:ligatures w14:val="none"/>
        </w:rPr>
        <w:t>Alcoa </w:t>
      </w:r>
      <w:r w:rsidRPr="00737B80">
        <w:rPr>
          <w:rFonts w:ascii="Lato" w:eastAsia="Times New Roman" w:hAnsi="Lato" w:cs="Times New Roman"/>
          <w:color w:val="000000"/>
          <w:kern w:val="0"/>
          <w:sz w:val="23"/>
          <w:szCs w:val="23"/>
          <w:lang w:eastAsia="fr-BE"/>
          <w14:ligatures w14:val="none"/>
        </w:rPr>
        <w:t>a annoncé la clôture d'une émission d'obligations « </w:t>
      </w:r>
      <w:r w:rsidRPr="00737B80">
        <w:rPr>
          <w:rFonts w:ascii="Lato" w:eastAsia="Times New Roman" w:hAnsi="Lato" w:cs="Times New Roman"/>
          <w:i/>
          <w:iCs/>
          <w:color w:val="000000"/>
          <w:kern w:val="0"/>
          <w:sz w:val="23"/>
          <w:szCs w:val="23"/>
          <w:lang w:eastAsia="fr-BE"/>
          <w14:ligatures w14:val="none"/>
        </w:rPr>
        <w:t>vertes </w:t>
      </w:r>
      <w:r w:rsidRPr="00737B80">
        <w:rPr>
          <w:rFonts w:ascii="Lato" w:eastAsia="Times New Roman" w:hAnsi="Lato" w:cs="Times New Roman"/>
          <w:color w:val="000000"/>
          <w:kern w:val="0"/>
          <w:sz w:val="23"/>
          <w:szCs w:val="23"/>
          <w:lang w:eastAsia="fr-BE"/>
          <w14:ligatures w14:val="none"/>
        </w:rPr>
        <w:t>» par sa filiale </w:t>
      </w:r>
      <w:r w:rsidRPr="00737B80">
        <w:rPr>
          <w:rFonts w:ascii="Lato" w:eastAsia="Times New Roman" w:hAnsi="Lato" w:cs="Times New Roman"/>
          <w:b/>
          <w:bCs/>
          <w:color w:val="000000"/>
          <w:kern w:val="0"/>
          <w:sz w:val="23"/>
          <w:szCs w:val="23"/>
          <w:lang w:eastAsia="fr-BE"/>
          <w14:ligatures w14:val="none"/>
        </w:rPr>
        <w:t>Alcoa Nederland Holding</w:t>
      </w:r>
      <w:r w:rsidRPr="00737B80">
        <w:rPr>
          <w:rFonts w:ascii="Lato" w:eastAsia="Times New Roman" w:hAnsi="Lato" w:cs="Times New Roman"/>
          <w:color w:val="000000"/>
          <w:kern w:val="0"/>
          <w:sz w:val="23"/>
          <w:szCs w:val="23"/>
          <w:lang w:eastAsia="fr-BE"/>
          <w14:ligatures w14:val="none"/>
        </w:rPr>
        <w:t>, dont le produit sera utilisé pour des projets de décarbonisation et des dépenses de recherche et développement (R&amp;D) liées à des technologies avancées.</w:t>
      </w:r>
    </w:p>
    <w:p w14:paraId="49975CD2" w14:textId="77777777" w:rsidR="00287462" w:rsidRDefault="00287462"/>
    <w:sectPr w:rsidR="002874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ato">
    <w:charset w:val="00"/>
    <w:family w:val="swiss"/>
    <w:pitch w:val="variable"/>
    <w:sig w:usb0="E10002FF" w:usb1="5000ECF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B80"/>
    <w:rsid w:val="00243F70"/>
    <w:rsid w:val="00287462"/>
    <w:rsid w:val="00737B80"/>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739DE"/>
  <w15:chartTrackingRefBased/>
  <w15:docId w15:val="{C02C97C8-9815-4A2D-A91D-7F6578AEA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737B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737B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737B80"/>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737B80"/>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737B80"/>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737B80"/>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737B80"/>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737B80"/>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737B80"/>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37B80"/>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737B80"/>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737B80"/>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737B80"/>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737B80"/>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737B80"/>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737B80"/>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737B80"/>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737B80"/>
    <w:rPr>
      <w:rFonts w:eastAsiaTheme="majorEastAsia" w:cstheme="majorBidi"/>
      <w:color w:val="272727" w:themeColor="text1" w:themeTint="D8"/>
    </w:rPr>
  </w:style>
  <w:style w:type="paragraph" w:styleId="Titre">
    <w:name w:val="Title"/>
    <w:basedOn w:val="Normal"/>
    <w:next w:val="Normal"/>
    <w:link w:val="TitreCar"/>
    <w:uiPriority w:val="10"/>
    <w:qFormat/>
    <w:rsid w:val="00737B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37B80"/>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737B80"/>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737B80"/>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737B80"/>
    <w:pPr>
      <w:spacing w:before="160"/>
      <w:jc w:val="center"/>
    </w:pPr>
    <w:rPr>
      <w:i/>
      <w:iCs/>
      <w:color w:val="404040" w:themeColor="text1" w:themeTint="BF"/>
    </w:rPr>
  </w:style>
  <w:style w:type="character" w:customStyle="1" w:styleId="CitationCar">
    <w:name w:val="Citation Car"/>
    <w:basedOn w:val="Policepardfaut"/>
    <w:link w:val="Citation"/>
    <w:uiPriority w:val="29"/>
    <w:rsid w:val="00737B80"/>
    <w:rPr>
      <w:i/>
      <w:iCs/>
      <w:color w:val="404040" w:themeColor="text1" w:themeTint="BF"/>
    </w:rPr>
  </w:style>
  <w:style w:type="paragraph" w:styleId="Paragraphedeliste">
    <w:name w:val="List Paragraph"/>
    <w:basedOn w:val="Normal"/>
    <w:uiPriority w:val="34"/>
    <w:qFormat/>
    <w:rsid w:val="00737B80"/>
    <w:pPr>
      <w:ind w:left="720"/>
      <w:contextualSpacing/>
    </w:pPr>
  </w:style>
  <w:style w:type="character" w:styleId="Accentuationintense">
    <w:name w:val="Intense Emphasis"/>
    <w:basedOn w:val="Policepardfaut"/>
    <w:uiPriority w:val="21"/>
    <w:qFormat/>
    <w:rsid w:val="00737B80"/>
    <w:rPr>
      <w:i/>
      <w:iCs/>
      <w:color w:val="0F4761" w:themeColor="accent1" w:themeShade="BF"/>
    </w:rPr>
  </w:style>
  <w:style w:type="paragraph" w:styleId="Citationintense">
    <w:name w:val="Intense Quote"/>
    <w:basedOn w:val="Normal"/>
    <w:next w:val="Normal"/>
    <w:link w:val="CitationintenseCar"/>
    <w:uiPriority w:val="30"/>
    <w:qFormat/>
    <w:rsid w:val="00737B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737B80"/>
    <w:rPr>
      <w:i/>
      <w:iCs/>
      <w:color w:val="0F4761" w:themeColor="accent1" w:themeShade="BF"/>
    </w:rPr>
  </w:style>
  <w:style w:type="character" w:styleId="Rfrenceintense">
    <w:name w:val="Intense Reference"/>
    <w:basedOn w:val="Policepardfaut"/>
    <w:uiPriority w:val="32"/>
    <w:qFormat/>
    <w:rsid w:val="00737B8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9839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358</Words>
  <Characters>1973</Characters>
  <Application>Microsoft Office Word</Application>
  <DocSecurity>0</DocSecurity>
  <Lines>16</Lines>
  <Paragraphs>4</Paragraphs>
  <ScaleCrop>false</ScaleCrop>
  <Company/>
  <LinksUpToDate>false</LinksUpToDate>
  <CharactersWithSpaces>2327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Sebastien Klinck</dc:creator>
  <cp:keywords/>
  <dc:description/>
  <cp:lastModifiedBy>Sebastien Klinck</cp:lastModifiedBy>
  <cp:revision>1</cp:revision>
  <dcterms:created xsi:type="dcterms:W3CDTF">2024-05-23T08:22:00Z</dcterms:created>
  <dcterms:modified xsi:type="dcterms:W3CDTF">2024-05-23T08:23:00Z</dcterms:modified>
</cp:coreProperties>
</file>